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B4" w:rsidRPr="0089600E" w:rsidRDefault="00B362B4">
      <w:pPr>
        <w:rPr>
          <w:b/>
        </w:rPr>
      </w:pPr>
      <w:bookmarkStart w:id="0" w:name="_GoBack"/>
      <w:bookmarkEnd w:id="0"/>
      <w:r w:rsidRPr="0089600E">
        <w:rPr>
          <w:b/>
        </w:rPr>
        <w:t xml:space="preserve">2018 ERASMUS+ PROGRAM REHBERİNDEKİ BAZI DEĞİŞİKLİKLER </w:t>
      </w:r>
    </w:p>
    <w:p w:rsidR="00B362B4" w:rsidRDefault="00B362B4"/>
    <w:p w:rsidR="00BC0DC1" w:rsidRDefault="00B362B4">
      <w:r w:rsidRPr="00B362B4">
        <w:sym w:font="Symbol" w:char="F0B7"/>
      </w:r>
      <w:r w:rsidRPr="00B362B4">
        <w:t xml:space="preserve"> 2018’de mesleki eğitim kapsamında “ErasmusPro” başlığı altında uzun dönemli öğrenici hareketlilikleri öngören bir hareketlilik türü başlatılmıştır. Bu hareketlilik türüyle mesleki eğitim öğrenicilerinin hareketlilikleri iki ayrı şekilde düzenlenebilecektir; </w:t>
      </w:r>
    </w:p>
    <w:p w:rsidR="00BC0DC1" w:rsidRDefault="00BC0DC1"/>
    <w:p w:rsidR="00BC0DC1" w:rsidRDefault="00B362B4" w:rsidP="00BC0DC1">
      <w:pPr>
        <w:pStyle w:val="ListeParagraf"/>
        <w:numPr>
          <w:ilvl w:val="0"/>
          <w:numId w:val="1"/>
        </w:numPr>
      </w:pPr>
      <w:r w:rsidRPr="00B362B4">
        <w:t xml:space="preserve">2 hafta ila 3 ay arası bir zaman diliminde gerçekleştirilecek hareketlilikler </w:t>
      </w:r>
    </w:p>
    <w:p w:rsidR="00B362B4" w:rsidRDefault="00B362B4" w:rsidP="00BC0DC1">
      <w:pPr>
        <w:pStyle w:val="ListeParagraf"/>
        <w:numPr>
          <w:ilvl w:val="0"/>
          <w:numId w:val="1"/>
        </w:numPr>
      </w:pPr>
      <w:r w:rsidRPr="00B362B4">
        <w:t xml:space="preserve">3-12 ay arası bir zaman diliminde gerçekleştirilecek uzun dönemli hareketlilikler </w:t>
      </w:r>
    </w:p>
    <w:p w:rsidR="00B362B4" w:rsidRDefault="00B362B4"/>
    <w:p w:rsidR="00BC0DC1" w:rsidRDefault="00B362B4">
      <w:r w:rsidRPr="00B362B4">
        <w:t xml:space="preserve">ErasmusPro uygulamasıyla amaç, öğrenicilerin yurtdışındaki hareketliliklerde daha uzun süre kalması ve uzun dönemli işe yerleştirmelerle öğrenicilerin niteliğini, tercih edilirliklerini, istihdam edilebilirliklerini artırmaktır. Söz konusu uzun dönemli hareketliliklerin, öğrenicilerin mesleki becerilerinin, yabancı dil yeterliklerinin, kültürel yönlerinin ve iş ortamına uyum performanslarının gelişmesine kısa dönemli hareketliklere göre daha çok katkı sağlaması beklenmektedir. </w:t>
      </w:r>
    </w:p>
    <w:p w:rsidR="00BC0DC1" w:rsidRDefault="00BC0DC1"/>
    <w:p w:rsidR="00BC0DC1" w:rsidRDefault="00B362B4">
      <w:r w:rsidRPr="00B362B4">
        <w:t xml:space="preserve">ErasmusPro ile öğrenci hareketliliklerine teknik olarak gelen pek bir değişiklik yok. Eskiden olduğu gibi iyi bir çalışma programı sunulmasını, ek olarak ise gerçekleştirilecek uygulamanın daha çok bir işe yerleştirme şeklinde olması öngörülüyor. Bu hareketlilik türüyle “Advance Planning Visits-Önceden Planlı Ziyaret” (APV) şeklinde tanımlana bir faaliyet getirilmiştir. Bu faaliyet gönderici kurumdan alıcı kuruma, daha verimli bir hareketlilik gerçekleştirilmesi ve kurumlar arası işbirliğinin geliştirilmesine katkıda bulunmak amacıyla personel gönderimini desteklemektedir. Her bir APV faaliyeti bir katılımcı ve seyahat günleri hariç üç iş günüyle sınırlıdır. Alıcı kurum sayısınca APV faaliyeti düzenlemek mümkündür. </w:t>
      </w:r>
    </w:p>
    <w:p w:rsidR="00BC0DC1" w:rsidRDefault="00BC0DC1"/>
    <w:p w:rsidR="00BC0DC1" w:rsidRDefault="00B362B4">
      <w:r w:rsidRPr="00B362B4">
        <w:t xml:space="preserve">Mesleki eğitim öğrenici hareketliliği projelerinin fonlanma kriterlerinde ErasmusPro hareketlilik şekline ilişkin birkaç ekleme mevcut. Bunlar “uzun dönemli hareketliliklerin uzamı; planlamanın açıklığı; uygulanabilirlik” şeklinde belirtilmiştir. Bunun yanında bir ErasmusPro hareketliliğinin sınır ötesi işbirliğini ve tanıma araçlarını geliştirmesi beklenmektedir. </w:t>
      </w:r>
    </w:p>
    <w:p w:rsidR="00BC0DC1" w:rsidRDefault="00BC0DC1"/>
    <w:p w:rsidR="0089600E" w:rsidRDefault="00B362B4">
      <w:r w:rsidRPr="00B362B4">
        <w:sym w:font="Symbol" w:char="F0B7"/>
      </w:r>
      <w:r w:rsidRPr="00B362B4">
        <w:t xml:space="preserve"> 2018 program rehberindeki bir başka değişiklik Stratejik Ortaklıklara ilişkin. 2017’de ‘Yenilik Geliştirme’ ve ‘İyi Uygulamaların Değişimi’ne yönelik olarak ayrılan stratejik ortaklıklara 2018’de iyi uygulamaların değişimi başlığı altında “Okul Değişimi Ortaklıkları” şeklinde yeni proje formatı eklenmiştir. </w:t>
      </w:r>
    </w:p>
    <w:p w:rsidR="0089600E" w:rsidRDefault="0089600E"/>
    <w:p w:rsidR="00BC0DC1" w:rsidRDefault="00B362B4">
      <w:r w:rsidRPr="00B362B4">
        <w:t xml:space="preserve">Okul Değişimi Ortaklıkları yalnızca okullara yöneliktir ve bu bağlamda öğrenciler ve personel için hareketlilikler düzenlenmesi öngörülmektedir. Okul Değişimi Ortaklıkları için farklı bir fonlama ve anlaşma modeli öngörülmektedir. Söz konusu başlık altında sağlanacak fon her bir proje yılı ve her bir katılımcı okul için 16 500€ ile sınırlıdır. </w:t>
      </w:r>
      <w:r w:rsidR="00BC0DC1">
        <w:t xml:space="preserve"> </w:t>
      </w:r>
      <w:r w:rsidRPr="00B362B4">
        <w:t xml:space="preserve">Okul Değişimi Ortaklıkları kapsamında; </w:t>
      </w:r>
    </w:p>
    <w:p w:rsidR="00BC0DC1" w:rsidRDefault="00BC0DC1"/>
    <w:p w:rsidR="00BC0DC1" w:rsidRDefault="00B362B4">
      <w:r w:rsidRPr="00B362B4">
        <w:t xml:space="preserve">Okul öğrenci gruplarının kısa dönemli değişimi (3 gün ila 2 ay arası) </w:t>
      </w:r>
    </w:p>
    <w:p w:rsidR="00BC0DC1" w:rsidRDefault="00BC0DC1"/>
    <w:p w:rsidR="00BC0DC1" w:rsidRDefault="00B362B4">
      <w:r w:rsidRPr="00B362B4">
        <w:t xml:space="preserve">Okul öğrenci gruplarının uzun dönemli hareketliliği (2-12 ay arası) </w:t>
      </w:r>
    </w:p>
    <w:p w:rsidR="00BC0DC1" w:rsidRDefault="00BC0DC1"/>
    <w:p w:rsidR="00BC0DC1" w:rsidRDefault="00B362B4">
      <w:r w:rsidRPr="00B362B4">
        <w:t>Kısa dönem ortak personel eğitim faaliyetleri (3 gün ila 2 ay arası)</w:t>
      </w:r>
    </w:p>
    <w:p w:rsidR="00BC0DC1" w:rsidRDefault="00BC0DC1"/>
    <w:p w:rsidR="00BC0DC1" w:rsidRDefault="00B362B4">
      <w:r w:rsidRPr="00B362B4">
        <w:t xml:space="preserve"> Uzun dönem ders verme veya eğitim alma görevlendirmeleri (2-12 ay arası),</w:t>
      </w:r>
      <w:r w:rsidR="00BC0DC1">
        <w:t xml:space="preserve"> </w:t>
      </w:r>
      <w:r w:rsidRPr="00B362B4">
        <w:t>faaliyetler desteklenmektedir.</w:t>
      </w:r>
    </w:p>
    <w:p w:rsidR="00BC0DC1" w:rsidRDefault="00BC0DC1"/>
    <w:p w:rsidR="00BC0DC1" w:rsidRPr="0089600E" w:rsidRDefault="00B362B4">
      <w:pPr>
        <w:rPr>
          <w:u w:val="single"/>
        </w:rPr>
      </w:pPr>
      <w:r w:rsidRPr="0089600E">
        <w:rPr>
          <w:u w:val="single"/>
        </w:rPr>
        <w:t xml:space="preserve">Okul Değişimi Ortaklıkları kapsamında sunulan tekliflerin fonlanması için gerekli kriterler; </w:t>
      </w:r>
    </w:p>
    <w:p w:rsidR="00BC0DC1" w:rsidRDefault="00BC0DC1"/>
    <w:p w:rsidR="00BC0DC1" w:rsidRDefault="00B362B4">
      <w:r w:rsidRPr="00B362B4">
        <w:t xml:space="preserve">Katılımcı kurum sayısı en az 2, en çok 6 olabilir, </w:t>
      </w:r>
    </w:p>
    <w:p w:rsidR="00BC0DC1" w:rsidRDefault="00BC0DC1"/>
    <w:p w:rsidR="00BC0DC1" w:rsidRDefault="00B362B4">
      <w:r w:rsidRPr="00B362B4">
        <w:t xml:space="preserve">Yalnızca Program ülkelerinde yerleşik okullar proje katılımcısı olabilir, </w:t>
      </w:r>
    </w:p>
    <w:p w:rsidR="00BC0DC1" w:rsidRDefault="00BC0DC1"/>
    <w:p w:rsidR="00BC0DC1" w:rsidRDefault="00B362B4">
      <w:r w:rsidRPr="00B362B4">
        <w:t xml:space="preserve">Proje süresi en az 12 en çok 24 ay olabilir, yalnızca uzun dönemli öğrenci hareketliliklerine yönelik projeler çalışma planıyla doğrulandığı takdirde 36 ay sürebilir. </w:t>
      </w:r>
    </w:p>
    <w:p w:rsidR="00BC0DC1" w:rsidRDefault="00BC0DC1"/>
    <w:p w:rsidR="006E4EB9" w:rsidRDefault="00B362B4">
      <w:r w:rsidRPr="00B362B4">
        <w:sym w:font="Symbol" w:char="F0B7"/>
      </w:r>
      <w:r w:rsidRPr="00B362B4">
        <w:t xml:space="preserve"> Önceden özel yayınlanan bir teklif çağrısıyla düzenlenen Sektörel Beceri Ortaklıkları için 2018 rehberinde Stratejik Ortaklıklar altında ayrı bir başlık açılmış ve detaylı bilgi verilmiştir. </w:t>
      </w:r>
    </w:p>
    <w:p w:rsidR="006E4EB9" w:rsidRDefault="006E4EB9"/>
    <w:p w:rsidR="006E4EB9" w:rsidRDefault="00B362B4">
      <w:r w:rsidRPr="00B362B4">
        <w:sym w:font="Symbol" w:char="F0B7"/>
      </w:r>
      <w:r w:rsidRPr="00B362B4">
        <w:t xml:space="preserve"> 2018’de Stratejik Ortaklıklar alanında hibe kriterlerinden ‘proje tasarımı ve uygulamasının kalitesi’ne “eTwinning, EPALE, School Education Gateway gibi online Erasmus + platformlarının projenin hazırlık, uygulama, etki aşamalarında kullanımı” madde olarak eklenmiştir.</w:t>
      </w:r>
    </w:p>
    <w:p w:rsidR="006E4EB9" w:rsidRDefault="006E4EB9"/>
    <w:p w:rsidR="006E4EB9" w:rsidRDefault="00B362B4">
      <w:r w:rsidRPr="00B362B4">
        <w:t xml:space="preserve"> STRATEJİK ORTAKLIK</w:t>
      </w:r>
      <w:r w:rsidR="006E4EB9">
        <w:t>L</w:t>
      </w:r>
      <w:r w:rsidRPr="00B362B4">
        <w:t xml:space="preserve">AR ALANINDA BELİRLENEN ÖNCELİKLER </w:t>
      </w:r>
    </w:p>
    <w:p w:rsidR="006E4EB9" w:rsidRDefault="006E4EB9"/>
    <w:p w:rsidR="006E4EB9" w:rsidRDefault="00B362B4">
      <w:r w:rsidRPr="00B362B4">
        <w:t xml:space="preserve">Bir önceki yıla göre; </w:t>
      </w:r>
    </w:p>
    <w:p w:rsidR="006E4EB9" w:rsidRDefault="006E4EB9"/>
    <w:p w:rsidR="006E4EB9" w:rsidRDefault="00B362B4">
      <w:r w:rsidRPr="006E4EB9">
        <w:rPr>
          <w:u w:val="single"/>
        </w:rPr>
        <w:t>İlgili ve yüksek kalitede beceri ve yeterliklerin kazanılmasına yönelik;</w:t>
      </w:r>
      <w:r w:rsidRPr="00B362B4">
        <w:t xml:space="preserve"> eğitim kurumları, işletmeler ve aracı kuruluşlar arasında, hayat boyu öğrenmeyi teşvik etmek ve hareketlilik deneyimlerinin niteliğini ve etkililiğini artırmak için işbirliğini artıran, </w:t>
      </w:r>
    </w:p>
    <w:p w:rsidR="006E4EB9" w:rsidRDefault="006E4EB9"/>
    <w:p w:rsidR="006E4EB9" w:rsidRDefault="00B362B4">
      <w:r w:rsidRPr="006E4EB9">
        <w:rPr>
          <w:u w:val="single"/>
        </w:rPr>
        <w:t>Sosyal dâhil etmeye yönelik;</w:t>
      </w:r>
      <w:r w:rsidRPr="00B362B4">
        <w:t xml:space="preserve"> örgün ve yaygın eğitimde dijital teknolojilere erişimdeki farklılıkları azaltmayı öngören yeni yaklaşımları desteklemeyi ve değerlendirmeyi amaçlayan, </w:t>
      </w:r>
    </w:p>
    <w:p w:rsidR="006E4EB9" w:rsidRDefault="006E4EB9"/>
    <w:p w:rsidR="006E4EB9" w:rsidRDefault="00B362B4">
      <w:r w:rsidRPr="006E4EB9">
        <w:rPr>
          <w:u w:val="single"/>
        </w:rPr>
        <w:t>Dijital çağda açık ve yenilikçi uygulamalara yönelik;</w:t>
      </w:r>
      <w:r w:rsidRPr="00B362B4">
        <w:t xml:space="preserve"> Dijital öğrenme materyalleri ve araçları, özellikle Açık Eğitim Kaynakları, açık ders kitapları, Ücretsiz ve Açık Eğitim Yazılımı Kaynakları geliştirmeyi ve güncellemeye ve eğitim, öğretim ve gençlik alanında dijital teknolojilerin etkili kullanımına yönelik eylemlere öncelik verilecektir. </w:t>
      </w:r>
    </w:p>
    <w:p w:rsidR="006E4EB9" w:rsidRDefault="006E4EB9"/>
    <w:p w:rsidR="00934D73" w:rsidRDefault="00B362B4">
      <w:r w:rsidRPr="00B362B4">
        <w:t>Bir önceki yıla göre ayrıca değinilen bir nokta da 2018 Avrupa Kültürel Miras Yılında Avrupa'nın kültürel mirasının önemine dair farkındalığı artırmak için eylemlere öncelik verilmesine yöneliktir.</w:t>
      </w:r>
    </w:p>
    <w:p w:rsidR="00B077ED" w:rsidRDefault="00B077ED"/>
    <w:p w:rsidR="00B077ED" w:rsidRDefault="00B077ED">
      <w:r>
        <w:t xml:space="preserve">(alıntıdır) </w:t>
      </w:r>
    </w:p>
    <w:sectPr w:rsidR="00B077ED" w:rsidSect="00934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273FF"/>
    <w:multiLevelType w:val="hybridMultilevel"/>
    <w:tmpl w:val="8050E810"/>
    <w:lvl w:ilvl="0" w:tplc="24A2B83C">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B4"/>
    <w:rsid w:val="006A7CFE"/>
    <w:rsid w:val="006E4EB9"/>
    <w:rsid w:val="007E7636"/>
    <w:rsid w:val="0089600E"/>
    <w:rsid w:val="00934D73"/>
    <w:rsid w:val="00B077ED"/>
    <w:rsid w:val="00B362B4"/>
    <w:rsid w:val="00BC0DC1"/>
    <w:rsid w:val="00FB1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D6F51-D7E0-40B0-89B2-E6CB5F1B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spacing w:val="2"/>
        <w:w w:val="95"/>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2EE2A-A5FD-435B-AEAD-1F16DB69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dc:creator>
  <cp:lastModifiedBy>ronaldinho424</cp:lastModifiedBy>
  <cp:revision>2</cp:revision>
  <dcterms:created xsi:type="dcterms:W3CDTF">2018-01-04T10:20:00Z</dcterms:created>
  <dcterms:modified xsi:type="dcterms:W3CDTF">2018-01-04T10:20:00Z</dcterms:modified>
</cp:coreProperties>
</file>